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Para estructurar un dashboard en Power BI atractivo y útil sobre la rueda de negocios multisectorial, los indicadores y métricas estarán enfocados en variables comerciales, de impacto económico y de red empresarial, con una narrativa que resalte oportunidades, resultados tangibles y potencial de escalabilidad, basado en el estilo de grandes modelos empresariales.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xzfidzgaqen4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Participación Empresarial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Número total de empresas participantes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Empresas por departamento (Caldas vs. Antioquia)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Empresas por sector económico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Empresas por tamaño (micro, pyme, grande)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Empresas nuevas vs. recurrentes en ruedas anteriores</w:t>
        <w:br w:type="textWrapping"/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q6iiafoh0t5e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Conexiones y Negociaciones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Número de citas/ruedas de negocio efectivas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Tasa de cumplimiento de citas (% efectividad)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Promedio de contactos comerciales por empresa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Tiempo promedio por cita</w:t>
        <w:br w:type="textWrapping"/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  <w:highlight w:val="red"/>
        </w:rPr>
      </w:pPr>
      <w:bookmarkStart w:colFirst="0" w:colLast="0" w:name="_sc8ai6i6wkgr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</w:t>
      </w:r>
      <w:r w:rsidDel="00000000" w:rsidR="00000000" w:rsidRPr="00000000">
        <w:rPr>
          <w:b w:val="1"/>
          <w:color w:val="000000"/>
          <w:sz w:val="22"/>
          <w:szCs w:val="22"/>
          <w:highlight w:val="red"/>
          <w:rtl w:val="0"/>
        </w:rPr>
        <w:t xml:space="preserve">Volumen de Negocio y Proyecciones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Valor estimado de negocios generados (por empresa o sector)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Ticket promedio por negociación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highlight w:val="red"/>
          <w:rtl w:val="0"/>
        </w:rPr>
        <w:t xml:space="preserve">% de empresas que reportan intención de cerrar negocio post-evento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ei8lzi6nio4k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Demanda y Oferta Comercial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Sectores con mayor demanda de productos o servicios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Sectores con mayor oferta</w:t>
        <w:br w:type="textWrapping"/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waotaz90rkh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Interacción y Alcance Digital (si la web permite trazabilidad)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Visitas únicas a los perfiles empresariales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Clics en botones de contacto / interés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Empresas más consultadas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% de empresas que completaron su perfil al 100%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